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BENTON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 xml:space="preserve">12V</w:t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  <w:t xml:space="preserve">Nabíječka baterií </w:t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tl w:val="0"/>
        </w:rPr>
        <w:t xml:space="preserve">BX-1M / BX-1D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sz w:val="20"/>
          <w:szCs w:val="20"/>
          <w:rtl w:val="0"/>
        </w:rPr>
        <w:t xml:space="preserve">Nabíjecí proud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right"/>
        <w:rPr/>
      </w:pPr>
      <w:r w:rsidDel="00000000" w:rsidR="00000000" w:rsidRPr="00000000">
        <w:rPr>
          <w:rtl w:val="0"/>
        </w:rPr>
        <w:t xml:space="preserve">3,8A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Kapacita baterie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jc w:val="right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1,2-120Ah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720"/>
        <w:jc w:val="center"/>
        <w:rPr/>
      </w:pPr>
      <w:r w:rsidDel="00000000" w:rsidR="00000000" w:rsidRPr="00000000">
        <w:rPr>
          <w:rtl w:val="0"/>
        </w:rPr>
        <w:t xml:space="preserve">                              Nabíjení v 7 krocích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Uživatelská příručka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Pro olověné / lithiové / vápníkové baterie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432050" cy="1916700"/>
            <wp:effectExtent b="0" l="0" r="0" t="0"/>
            <wp:wrapSquare wrapText="bothSides" distB="0" distT="0" distL="114300" distR="114300"/>
            <wp:docPr id="11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91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NABÍJEČKA BATERIÍ S RŮZNÝMI REŽIMY NABÍJENÍ - PŘEKLAD PŮVODNÍHO NÁVODU K POUŽITÍ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ff0000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3012606" cy="1343121"/>
            <wp:effectExtent b="0" l="0" r="0" t="0"/>
            <wp:docPr id="11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2606" cy="13431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360" w:firstLine="0"/>
        <w:rPr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                       </w:t>
      </w:r>
      <w:r w:rsidDel="00000000" w:rsidR="00000000" w:rsidRPr="00000000">
        <w:rPr/>
        <w:drawing>
          <wp:inline distB="0" distT="0" distL="0" distR="0">
            <wp:extent cx="2748525" cy="1275646"/>
            <wp:effectExtent b="0" l="0" r="0" t="0"/>
            <wp:docPr id="10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8525" cy="1275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 vaši bezpečnost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Tento návod k použití obsahuje důležité bezpečnostní a provozní pokyny. Než začnete nabíječku používat, pozorně si jej přečtěte, a poté jej uložte na bezpečné místo pro případ jeho budoucí potřeby.</w:t>
      </w:r>
    </w:p>
    <w:p w:rsidR="00000000" w:rsidDel="00000000" w:rsidP="00000000" w:rsidRDefault="00000000" w:rsidRPr="00000000" w14:paraId="0000001E">
      <w:pPr>
        <w:rPr>
          <w:b w:val="1"/>
          <w:sz w:val="15"/>
          <w:szCs w:val="15"/>
        </w:rPr>
        <w:sectPr>
          <w:pgSz w:h="5954" w:w="8392" w:orient="landscape"/>
          <w:pgMar w:bottom="288" w:top="288" w:left="288" w:right="288" w:header="720" w:footer="720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5954" w:w="8392" w:orient="landscape"/>
          <w:pgMar w:bottom="288" w:top="288" w:left="288" w:right="288" w:header="432" w:footer="432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Bezpečnostní informace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15"/>
          <w:szCs w:val="15"/>
        </w:rPr>
      </w:pPr>
      <w:r w:rsidDel="00000000" w:rsidR="00000000" w:rsidRPr="00000000">
        <w:rPr>
          <w:rtl w:val="0"/>
        </w:rPr>
        <w:t xml:space="preserve">Nabíječka </w:t>
      </w:r>
      <w:r w:rsidDel="00000000" w:rsidR="00000000" w:rsidRPr="00000000">
        <w:rPr>
          <w:b w:val="1"/>
          <w:sz w:val="15"/>
          <w:szCs w:val="15"/>
          <w:rtl w:val="0"/>
        </w:rPr>
        <w:t xml:space="preserve">BENTON®</w:t>
      </w:r>
      <w:r w:rsidDel="00000000" w:rsidR="00000000" w:rsidRPr="00000000">
        <w:rPr>
          <w:sz w:val="15"/>
          <w:szCs w:val="15"/>
          <w:rtl w:val="0"/>
        </w:rPr>
        <w:t xml:space="preserve"> </w:t>
      </w:r>
      <w:r w:rsidDel="00000000" w:rsidR="00000000" w:rsidRPr="00000000">
        <w:rPr>
          <w:b w:val="1"/>
          <w:sz w:val="15"/>
          <w:szCs w:val="15"/>
          <w:rtl w:val="0"/>
        </w:rPr>
        <w:t xml:space="preserve">BX-1M / BX-1D </w:t>
      </w:r>
      <w:r w:rsidDel="00000000" w:rsidR="00000000" w:rsidRPr="00000000">
        <w:rPr>
          <w:rtl w:val="0"/>
        </w:rPr>
        <w:t xml:space="preserve"> byla navržena pro nabíjení 12V olověných akumulátorů o kapacitě 1,2–120 Ah a lithiových akumulátorů o kapacitě 10–80 Ah. Nedodává energii do nízkonapěťových elektrických systémů. Nepoužívejte k jinému než uvedenému účelu.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14" w:firstLine="0"/>
        <w:rPr>
          <w:rFonts w:ascii="Arial" w:cs="Arial" w:eastAsia="Arial" w:hAnsi="Arial"/>
        </w:rPr>
      </w:pPr>
      <w:r w:rsidDel="00000000" w:rsidR="00000000" w:rsidRPr="00000000">
        <w:rPr>
          <w:sz w:val="15"/>
          <w:szCs w:val="15"/>
        </w:rPr>
        <w:drawing>
          <wp:inline distB="0" distT="0" distL="0" distR="0">
            <wp:extent cx="243207" cy="216915"/>
            <wp:effectExtent b="0" l="0" r="0" t="0"/>
            <wp:docPr id="1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207" cy="216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VAROVÁNÍ! NEPOKOUŠEJTE SE DOBÍJET NEDOBÍJECÍ BATERIE (SUCHÉ ČLÁNKY)</w:t>
      </w:r>
    </w:p>
    <w:p w:rsidR="00000000" w:rsidDel="00000000" w:rsidP="00000000" w:rsidRDefault="00000000" w:rsidRPr="00000000" w14:paraId="00000024">
      <w:pPr>
        <w:ind w:left="360" w:firstLine="0"/>
        <w:jc w:val="both"/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Před nabíjením se ujistete, že </w:t>
      </w:r>
      <w:r w:rsidDel="00000000" w:rsidR="00000000" w:rsidRPr="00000000">
        <w:rPr>
          <w:rFonts w:ascii="Arial" w:cs="Arial" w:eastAsia="Arial" w:hAnsi="Arial"/>
          <w:rtl w:val="0"/>
        </w:rPr>
        <w:t xml:space="preserve">přiváděná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energie odpovídá jmenovitým údajum; v </w:t>
      </w:r>
      <w:r w:rsidDel="00000000" w:rsidR="00000000" w:rsidRPr="00000000">
        <w:rPr>
          <w:rFonts w:ascii="Arial" w:cs="Arial" w:eastAsia="Arial" w:hAnsi="Arial"/>
          <w:rtl w:val="0"/>
        </w:rPr>
        <w:t xml:space="preserve">opačném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případě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by mohl být nabíjecí výkon </w:t>
      </w:r>
      <w:r w:rsidDel="00000000" w:rsidR="00000000" w:rsidRPr="00000000">
        <w:rPr>
          <w:rFonts w:ascii="Arial" w:cs="Arial" w:eastAsia="Arial" w:hAnsi="Arial"/>
          <w:rtl w:val="0"/>
        </w:rPr>
        <w:t xml:space="preserve">vážně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ovlivněn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Nepoužívejte</w:t>
      </w:r>
      <w:r w:rsidDel="00000000" w:rsidR="00000000" w:rsidRPr="00000000">
        <w:rPr>
          <w:rFonts w:ascii="Arial" w:cs="Arial" w:eastAsia="Arial" w:hAnsi="Arial"/>
          <w:rtl w:val="0"/>
        </w:rPr>
        <w:t xml:space="preserve"> nabíječku s poškozeným kabelem. V zájmu zajištění bezpečnosti musí být nahrazen výrobcem, jeho prodejcem nebo podobně kvalifikovaným technikem.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Nikdy nenabíjejte poškozenou baterii.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Nikdy nenabíjejte zamrzlou baterii.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Nikdy nepokládejte nabíječku na baterii, která se dobíjí, plyny z baterie </w:t>
      </w:r>
      <w:r w:rsidDel="00000000" w:rsidR="00000000" w:rsidRPr="00000000">
        <w:rPr>
          <w:rFonts w:ascii="Arial" w:cs="Arial" w:eastAsia="Arial" w:hAnsi="Arial"/>
          <w:rtl w:val="0"/>
        </w:rPr>
        <w:t xml:space="preserve">nabíječku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poškodí.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Nabíječku při nabíjení nezakrývejte.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Baterie musí být v průběhu nabíjení umístěna na dobře větraném místě.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Při nabíjení vždy používejte ochranné brýle, rukavice, ochranný od</w:t>
      </w:r>
      <w:r w:rsidDel="00000000" w:rsidR="00000000" w:rsidRPr="00000000">
        <w:rPr>
          <w:rFonts w:ascii="Arial" w:cs="Arial" w:eastAsia="Arial" w:hAnsi="Arial"/>
          <w:rtl w:val="0"/>
        </w:rPr>
        <w:t xml:space="preserve">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a </w:t>
      </w:r>
      <w:r w:rsidDel="00000000" w:rsidR="00000000" w:rsidRPr="00000000">
        <w:rPr>
          <w:rFonts w:ascii="Arial" w:cs="Arial" w:eastAsia="Arial" w:hAnsi="Arial"/>
          <w:rtl w:val="0"/>
        </w:rPr>
        <w:t xml:space="preserve">obličej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 nejvíce </w:t>
      </w:r>
      <w:r w:rsidDel="00000000" w:rsidR="00000000" w:rsidRPr="00000000">
        <w:rPr>
          <w:rFonts w:ascii="Arial" w:cs="Arial" w:eastAsia="Arial" w:hAnsi="Arial"/>
          <w:rtl w:val="0"/>
        </w:rPr>
        <w:t xml:space="preserve">chraňte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 dosahu baterie.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Nebez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pečí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výbuchu!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Baterie muže v </w:t>
      </w:r>
      <w:r w:rsidDel="00000000" w:rsidR="00000000" w:rsidRPr="00000000">
        <w:rPr>
          <w:rFonts w:ascii="Arial" w:cs="Arial" w:eastAsia="Arial" w:hAnsi="Arial"/>
          <w:rtl w:val="0"/>
        </w:rPr>
        <w:t xml:space="preserve">průběhu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nabíjení </w:t>
      </w:r>
      <w:r w:rsidDel="00000000" w:rsidR="00000000" w:rsidRPr="00000000">
        <w:rPr>
          <w:rFonts w:ascii="Arial" w:cs="Arial" w:eastAsia="Arial" w:hAnsi="Arial"/>
          <w:rtl w:val="0"/>
        </w:rPr>
        <w:t xml:space="preserve">uvolňovat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výbušné plyny. V blízkosti baterie se vyvarujte kourení nebo manipulace s ohn</w:t>
      </w:r>
      <w:r w:rsidDel="00000000" w:rsidR="00000000" w:rsidRPr="00000000">
        <w:rPr>
          <w:rFonts w:ascii="Arial" w:cs="Arial" w:eastAsia="Arial" w:hAnsi="Arial"/>
          <w:rtl w:val="0"/>
        </w:rPr>
        <w:t xml:space="preserve">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m. V blízkosti </w:t>
      </w:r>
      <w:r w:rsidDel="00000000" w:rsidR="00000000" w:rsidRPr="00000000">
        <w:rPr>
          <w:rFonts w:ascii="Arial" w:cs="Arial" w:eastAsia="Arial" w:hAnsi="Arial"/>
          <w:rtl w:val="0"/>
        </w:rPr>
        <w:t xml:space="preserve">nabíječky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baterií </w:t>
      </w:r>
      <w:r w:rsidDel="00000000" w:rsidR="00000000" w:rsidRPr="00000000">
        <w:rPr>
          <w:rFonts w:ascii="Arial" w:cs="Arial" w:eastAsia="Arial" w:hAnsi="Arial"/>
          <w:rtl w:val="0"/>
        </w:rPr>
        <w:t xml:space="preserve">nesmí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být uchovávány </w:t>
      </w:r>
      <w:r w:rsidDel="00000000" w:rsidR="00000000" w:rsidRPr="00000000">
        <w:rPr>
          <w:rFonts w:ascii="Arial" w:cs="Arial" w:eastAsia="Arial" w:hAnsi="Arial"/>
          <w:rtl w:val="0"/>
        </w:rPr>
        <w:t xml:space="preserve">hořlavé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látky a výbušniny.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Nebezpečí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poleptání chemikáliemi!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Kyselina v akumulátoru je vysoce </w:t>
      </w:r>
      <w:r w:rsidDel="00000000" w:rsidR="00000000" w:rsidRPr="00000000">
        <w:rPr>
          <w:rFonts w:ascii="Arial" w:cs="Arial" w:eastAsia="Arial" w:hAnsi="Arial"/>
          <w:rtl w:val="0"/>
        </w:rPr>
        <w:t xml:space="preserve">korozivní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Pokud vaše oci ci </w:t>
      </w:r>
      <w:r w:rsidDel="00000000" w:rsidR="00000000" w:rsidRPr="00000000">
        <w:rPr>
          <w:rFonts w:ascii="Arial" w:cs="Arial" w:eastAsia="Arial" w:hAnsi="Arial"/>
          <w:rtl w:val="0"/>
        </w:rPr>
        <w:t xml:space="preserve">kůže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prijdou do styku s kyselinou, okamžite</w:t>
      </w:r>
    </w:p>
    <w:p w:rsidR="00000000" w:rsidDel="00000000" w:rsidP="00000000" w:rsidRDefault="00000000" w:rsidRPr="00000000" w14:paraId="0000003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opláchnete zasaženou část těla dostatečným množstvím vody a vyhledejte lékařskou pomoc.</w:t>
      </w:r>
    </w:p>
    <w:p w:rsidR="00000000" w:rsidDel="00000000" w:rsidP="00000000" w:rsidRDefault="00000000" w:rsidRPr="00000000" w14:paraId="0000003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Než nabíječku ponecháte bez dozoru a na delší dobu zapojenou do sítě, ujistěte se, že je přepnutá do režimu nabíjení.</w:t>
      </w:r>
    </w:p>
    <w:p w:rsidR="00000000" w:rsidDel="00000000" w:rsidP="00000000" w:rsidRDefault="00000000" w:rsidRPr="00000000" w14:paraId="0000003B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Pokud baterie selže dojde k tomu během nabíjení, pokročilý ovládací systém nabíječky problém detekuje. V baterii se však mohou vyskytovat ojedinělé chyby, nenechávejte proto nabíjení delší dobu bez dohledu. </w:t>
      </w:r>
    </w:p>
    <w:p w:rsidR="00000000" w:rsidDel="00000000" w:rsidP="00000000" w:rsidRDefault="00000000" w:rsidRPr="00000000" w14:paraId="0000003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Baterie je za normálních podmínek uzemněna prostřednictvím buď záporné, nebo kladné svorky ke karosérii vozidla. Svorky nabíječky stejnosměrného proudu je třeba nejprve připojit ke svorce baterie,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která není připojena ke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karoserii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Dále ji připojte ke svorce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připojené ke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karoserii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v dostatečné vzdálenosti od baterie a palivového vedení. Potom zapojte nabíječku do elektrické sítě.</w:t>
      </w:r>
    </w:p>
    <w:p w:rsidR="00000000" w:rsidDel="00000000" w:rsidP="00000000" w:rsidRDefault="00000000" w:rsidRPr="00000000" w14:paraId="0000003F">
      <w:pPr>
        <w:ind w:left="720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 nabití baterie odpojte nabíječku ze sítě.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Odpojte spojení s karosérií a baterií.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Tím se sníží zbytkový proud.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Děti starší 15 let a osoby se omezenými fyzickými, smyslovými a mentálními schopnostmi či osoby s nedostatkem znalosti a zkušeností mohou toto zařízení obsluhovat pouze pod dozorem nebo pokud obdržely pokyny k používání tohoto zařízení bezpečným způsobem a jsou seznámeny se souvisejícími riziky. S tímto zařízením si nesmějí hrát děti. Děti nesmějí provádět čištění a údržbu tohoto zařízení bez dozoru.</w:t>
      </w:r>
    </w:p>
    <w:p w:rsidR="00000000" w:rsidDel="00000000" w:rsidP="00000000" w:rsidRDefault="00000000" w:rsidRPr="00000000" w14:paraId="00000043">
      <w:pPr>
        <w:rPr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Obsah balení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3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1) </w:t>
      </w:r>
      <w:r w:rsidDel="00000000" w:rsidR="00000000" w:rsidRPr="00000000">
        <w:rPr>
          <w:rtl w:val="0"/>
        </w:rPr>
        <w:t xml:space="preserve">Nabíječka</w:t>
      </w:r>
      <w:r w:rsidDel="00000000" w:rsidR="00000000" w:rsidRPr="00000000">
        <w:rPr>
          <w:b w:val="1"/>
          <w:sz w:val="20"/>
          <w:szCs w:val="20"/>
          <w:rtl w:val="0"/>
        </w:rPr>
        <w:t xml:space="preserve"> BENTON®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BX-1M / BX-1D 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sz w:val="20"/>
          <w:szCs w:val="20"/>
          <w:rtl w:val="0"/>
        </w:rPr>
        <w:t xml:space="preserve">2) </w:t>
      </w:r>
      <w:r w:rsidDel="00000000" w:rsidR="00000000" w:rsidRPr="00000000">
        <w:rPr>
          <w:rtl w:val="0"/>
        </w:rPr>
        <w:t xml:space="preserve">Rychlokontaktní vývody na baterii se svorkami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Rychlokontaktní vývody na baterii s očky (Ø 6,3 mm) a plochou pojistkou (10 A) k ochraně baterie pro permanentní připojení ke svorkám baterie, které umožňují rychlé připojení/odpojení pomocí nacvakávacího konektoru.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Uživatelská příručka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hanging="36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hanging="36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hanging="36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hanging="36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hanging="36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hanging="360"/>
        <w:jc w:val="center"/>
        <w:rPr/>
        <w:sectPr>
          <w:type w:val="continuous"/>
          <w:pgSz w:h="5954" w:w="8392" w:orient="landscape"/>
          <w:pgMar w:bottom="288" w:top="288" w:left="288" w:right="288" w:header="720" w:footer="720"/>
        </w:sectPr>
      </w:pPr>
      <w:r w:rsidDel="00000000" w:rsidR="00000000" w:rsidRPr="00000000">
        <w:rPr/>
        <w:drawing>
          <wp:inline distB="0" distT="0" distL="0" distR="0">
            <wp:extent cx="3741703" cy="2356320"/>
            <wp:effectExtent b="0" l="0" r="0" t="0"/>
            <wp:docPr id="11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1703" cy="2356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Režimy nabíjení</w:t>
      </w:r>
    </w:p>
    <w:p w:rsidR="00000000" w:rsidDel="00000000" w:rsidP="00000000" w:rsidRDefault="00000000" w:rsidRPr="00000000" w14:paraId="0000005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37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5"/>
        <w:gridCol w:w="4849"/>
        <w:tblGridChange w:id="0">
          <w:tblGrid>
            <w:gridCol w:w="1525"/>
            <w:gridCol w:w="484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/>
              <w:pict>
                <v:shape id="_x0000_i1030" style="width:32.55pt;height:20.05pt" o:ole="" type="#_x0000_t75">
                  <v:imagedata r:id="rId1" o:title=""/>
                </v:shape>
                <o:OLEObject DrawAspect="Content" r:id="rId2" ObjectID="_1625324759" ProgID="PBrush" ShapeID="_x0000_i1030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Režim 12V/0,8A</w:t>
            </w:r>
          </w:p>
          <w:p w:rsidR="00000000" w:rsidDel="00000000" w:rsidP="00000000" w:rsidRDefault="00000000" w:rsidRPr="00000000" w14:paraId="0000005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Tento režim je běžně vhodný pro baterie s kapacitou nižší než 14 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/>
              <w:pict>
                <v:shape id="_x0000_i1031" style="width:32.55pt;height:20.05pt" o:ole="" type="#_x0000_t75">
                  <v:imagedata r:id="rId3" o:title=""/>
                </v:shape>
                <o:OLEObject DrawAspect="Content" r:id="rId4" ObjectID="_1625324760" ProgID="PBrush" ShapeID="_x0000_i1031" Type="Embed"/>
              </w:pict>
            </w:r>
            <w:r w:rsidDel="00000000" w:rsidR="00000000" w:rsidRPr="00000000">
              <w:rPr/>
              <w:pict>
                <v:shape id="_x0000_i1032" style="width:29.45pt;height:22.55pt" o:ole="" type="#_x0000_t75">
                  <v:imagedata r:id="rId5" o:title=""/>
                </v:shape>
                <o:OLEObject DrawAspect="Content" r:id="rId6" ObjectID="_1625324761" ProgID="PBrush" ShapeID="_x0000_i1032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Režim 12V/0,8A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Tento režim je běžně vhodný pro baterie s vápníkové kapacitou nižší než 14 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/>
              <w:pict>
                <v:shape id="_x0000_i1033" style="width:37.55pt;height:21.3pt" o:ole="" type="#_x0000_t75">
                  <v:imagedata r:id="rId7" o:title=""/>
                </v:shape>
                <o:OLEObject DrawAspect="Content" r:id="rId8" ObjectID="_1625324762" ProgID="PBrush" ShapeID="_x0000_i103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Režim 12V/3,8A</w:t>
            </w:r>
          </w:p>
          <w:p w:rsidR="00000000" w:rsidDel="00000000" w:rsidP="00000000" w:rsidRDefault="00000000" w:rsidRPr="00000000" w14:paraId="0000006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Tento režim se běžně používá pro baterie WET, MF, VRLA, AGM a GEL baterie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/>
              <w:pict>
                <v:shape id="_x0000_i1034" style="width:20.65pt;height:22.55pt" o:ole="" type="#_x0000_t75">
                  <v:imagedata r:id="rId9" o:title=""/>
                </v:shape>
                <o:OLEObject DrawAspect="Content" r:id="rId10" ObjectID="_1625324763" ProgID="PBrush" ShapeID="_x0000_i103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Režim 12V/3,8A</w:t>
            </w:r>
          </w:p>
          <w:p w:rsidR="00000000" w:rsidDel="00000000" w:rsidP="00000000" w:rsidRDefault="00000000" w:rsidRPr="00000000" w14:paraId="00000063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Tento režim doporučujeme použít k nabíjení baterií typu AGM. Tento režim je vhodný také k nabíjení baterií při teplotách pod nulou.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/>
              <w:pict>
                <v:shape id="_x0000_i1035" style="width:29.45pt;height:22.55pt" o:ole="" type="#_x0000_t75">
                  <v:imagedata r:id="rId11" o:title=""/>
                </v:shape>
                <o:OLEObject DrawAspect="Content" r:id="rId12" ObjectID="_1625324764" ProgID="PBrush" ShapeID="_x0000_i103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Režim 12V/3,8A</w:t>
            </w:r>
          </w:p>
          <w:p w:rsidR="00000000" w:rsidDel="00000000" w:rsidP="00000000" w:rsidRDefault="00000000" w:rsidRPr="00000000" w14:paraId="0000006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Tento režim je za běžných okolností určen pro vápníkové akumulátory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/>
              <w:pict>
                <v:shape id="_x0000_i1036" style="width:29.45pt;height:23.15pt" o:ole="" type="#_x0000_t75">
                  <v:imagedata r:id="rId13" o:title=""/>
                </v:shape>
                <o:OLEObject DrawAspect="Content" r:id="rId14" ObjectID="_1625324765" ProgID="PBrush" ShapeID="_x0000_i103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Režim 12,8V/3,8A</w:t>
            </w:r>
          </w:p>
          <w:p w:rsidR="00000000" w:rsidDel="00000000" w:rsidP="00000000" w:rsidRDefault="00000000" w:rsidRPr="00000000" w14:paraId="0000006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Tento režim je za běžných okolností určen pro lithiové akumulátory o kapacitě 10–80 Ah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Doba objemového nabíjení</w:t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922.0" w:type="dxa"/>
        <w:jc w:val="left"/>
        <w:tblInd w:w="98.0" w:type="dxa"/>
        <w:tblLayout w:type="fixed"/>
        <w:tblLook w:val="0000"/>
      </w:tblPr>
      <w:tblGrid>
        <w:gridCol w:w="1078"/>
        <w:gridCol w:w="967"/>
        <w:gridCol w:w="1877"/>
        <w:tblGridChange w:id="0">
          <w:tblGrid>
            <w:gridCol w:w="1078"/>
            <w:gridCol w:w="967"/>
            <w:gridCol w:w="1877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Velikost baterie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Režim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 80% nabití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(Ah)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(hodin)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1,2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pict>
                <v:shape id="_x0000_i1037" style="width:32.55pt;height:20.05pt" o:ole="" type="#_x0000_t75">
                  <v:imagedata r:id="rId15" o:title=""/>
                </v:shape>
                <o:OLEObject DrawAspect="Content" r:id="rId16" ObjectID="_1625324766" ProgID="PBrush" ShapeID="_x0000_i103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14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2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pict>
                <v:shape id="_x0000_i1038" style="width:37.55pt;height:21.3pt" o:ole="" type="#_x0000_t75">
                  <v:imagedata r:id="rId17" o:title=""/>
                </v:shape>
                <o:OLEObject DrawAspect="Content" r:id="rId18" ObjectID="_1625324767" ProgID="PBrush" ShapeID="_x0000_i103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pict>
                <v:shape id="_x0000_i1039" style="width:20.65pt;height:22.55pt" o:ole="" type="#_x0000_t75">
                  <v:imagedata r:id="rId19" o:title=""/>
                </v:shape>
                <o:OLEObject DrawAspect="Content" r:id="rId20" ObjectID="_1625324768" ProgID="PBrush" ShapeID="_x0000_i103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pict>
                <v:shape id="_x0000_i1040" style="width:29.45pt;height:23.15pt" o:ole="" type="#_x0000_t75">
                  <v:imagedata r:id="rId21" o:title=""/>
                </v:shape>
                <o:OLEObject DrawAspect="Content" r:id="rId22" ObjectID="_1625324769" ProgID="PBrush" ShapeID="_x0000_i1040" Type="Embed"/>
              </w:pict>
            </w:r>
            <w:r w:rsidDel="00000000" w:rsidR="00000000" w:rsidRPr="00000000">
              <w:rPr>
                <w:sz w:val="16"/>
                <w:szCs w:val="16"/>
              </w:rPr>
              <w:pict>
                <v:shape id="_x0000_i1041" style="width:29.45pt;height:22.55pt" o:ole="" type="#_x0000_t75">
                  <v:imagedata r:id="rId23" o:title=""/>
                </v:shape>
                <o:OLEObject DrawAspect="Content" r:id="rId24" ObjectID="_1625324770" ProgID="PBrush" ShapeID="_x0000_i104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16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80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22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120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32</w:t>
            </w:r>
          </w:p>
        </w:tc>
      </w:tr>
    </w:tbl>
    <w:p w:rsidR="00000000" w:rsidDel="00000000" w:rsidP="00000000" w:rsidRDefault="00000000" w:rsidRPr="00000000" w14:paraId="0000008F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Baterie pod 12 Ah by neměly být nabíjeny proudem 3,8 A</w:t>
      </w:r>
    </w:p>
    <w:p w:rsidR="00000000" w:rsidDel="00000000" w:rsidP="00000000" w:rsidRDefault="00000000" w:rsidRPr="00000000" w14:paraId="00000091">
      <w:pPr>
        <w:rPr/>
        <w:sectPr>
          <w:type w:val="continuous"/>
          <w:pgSz w:h="5954" w:w="8392" w:orient="landscape"/>
          <w:pgMar w:bottom="288" w:top="288" w:left="288" w:right="288" w:header="720" w:footer="720"/>
        </w:sectPr>
      </w:pPr>
      <w:r w:rsidDel="00000000" w:rsidR="00000000" w:rsidRPr="00000000">
        <w:rPr>
          <w:rtl w:val="0"/>
        </w:rPr>
        <w:t xml:space="preserve">           </w:t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</w:rPr>
        <w:sectPr>
          <w:type w:val="continuous"/>
          <w:pgSz w:h="5954" w:w="8392" w:orient="landscape"/>
          <w:pgMar w:bottom="288" w:top="288" w:left="288" w:right="288" w:header="720" w:footer="720"/>
        </w:sectPr>
      </w:pPr>
      <w:r w:rsidDel="00000000" w:rsidR="00000000" w:rsidRPr="00000000">
        <w:rPr/>
        <w:drawing>
          <wp:inline distB="0" distT="0" distL="0" distR="0">
            <wp:extent cx="4400591" cy="3054437"/>
            <wp:effectExtent b="0" l="0" r="0" t="0"/>
            <wp:docPr id="11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91" cy="305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Nabíjení baterie permanentně upevněné ve vozidle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ind w:left="1094" w:hanging="357"/>
        <w:rPr/>
      </w:pPr>
      <w:r w:rsidDel="00000000" w:rsidR="00000000" w:rsidRPr="00000000">
        <w:rPr>
          <w:rtl w:val="0"/>
        </w:rPr>
        <w:t xml:space="preserve">Před zapojením nebo odpojením svorek k baterii by se měl odpojit síťový kabel z elektrické sítě.</w:t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ind w:left="1094" w:hanging="357"/>
        <w:rPr/>
      </w:pPr>
      <w:r w:rsidDel="00000000" w:rsidR="00000000" w:rsidRPr="00000000">
        <w:rPr>
          <w:rtl w:val="0"/>
        </w:rPr>
        <w:t xml:space="preserve">Zkontrolujte polaritu kolíků baterie. Kladný pól (+) baterie má zpravidla větší průměr než pól záporný (-).</w:t>
      </w:r>
    </w:p>
    <w:p w:rsidR="00000000" w:rsidDel="00000000" w:rsidP="00000000" w:rsidRDefault="00000000" w:rsidRPr="00000000" w14:paraId="000000A8">
      <w:pPr>
        <w:numPr>
          <w:ilvl w:val="0"/>
          <w:numId w:val="3"/>
        </w:numPr>
        <w:ind w:left="1094" w:hanging="357"/>
        <w:rPr/>
      </w:pPr>
      <w:r w:rsidDel="00000000" w:rsidR="00000000" w:rsidRPr="00000000">
        <w:rPr>
          <w:rtl w:val="0"/>
        </w:rPr>
        <w:t xml:space="preserve">Najděte pól baterie, který je připojený ke kostře (zem). Ke kostře se běžně připojuje záporný kolík.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ind w:left="1094" w:hanging="357"/>
        <w:rPr/>
      </w:pPr>
      <w:r w:rsidDel="00000000" w:rsidR="00000000" w:rsidRPr="00000000">
        <w:rPr>
          <w:rtl w:val="0"/>
        </w:rPr>
        <w:t xml:space="preserve">Nabíjení záporně uzemněné baterie: </w:t>
      </w:r>
    </w:p>
    <w:p w:rsidR="00000000" w:rsidDel="00000000" w:rsidP="00000000" w:rsidRDefault="00000000" w:rsidRPr="00000000" w14:paraId="000000AA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1"/>
          <w:numId w:val="3"/>
        </w:numPr>
        <w:ind w:left="1417" w:hanging="340"/>
        <w:rPr/>
      </w:pPr>
      <w:r w:rsidDel="00000000" w:rsidR="00000000" w:rsidRPr="00000000">
        <w:rPr>
          <w:rtl w:val="0"/>
        </w:rPr>
        <w:t xml:space="preserve">Ujistěte se, že černá svorka nebo koncovka s očkem (pól -) není v kontaktu s přívodem paliva nebo baterií.</w:t>
      </w:r>
    </w:p>
    <w:p w:rsidR="00000000" w:rsidDel="00000000" w:rsidP="00000000" w:rsidRDefault="00000000" w:rsidRPr="00000000" w14:paraId="000000AC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1"/>
          <w:numId w:val="3"/>
        </w:numPr>
        <w:ind w:left="1417" w:hanging="340"/>
        <w:rPr/>
      </w:pPr>
      <w:r w:rsidDel="00000000" w:rsidR="00000000" w:rsidRPr="00000000">
        <w:rPr>
          <w:rtl w:val="0"/>
        </w:rPr>
        <w:t xml:space="preserve">Připojte červený vodič nebo koncovku s očkem (+) na kladný pól (+) baterie a černý vodič nebo koncovku s očkem (-) na kostru vozidla.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ind w:left="1094" w:hanging="35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Nabíjení kladně uzemněné baterie:</w:t>
      </w:r>
    </w:p>
    <w:p w:rsidR="00000000" w:rsidDel="00000000" w:rsidP="00000000" w:rsidRDefault="00000000" w:rsidRPr="00000000" w14:paraId="000000AF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1"/>
          <w:numId w:val="3"/>
        </w:numPr>
        <w:ind w:left="1417" w:hanging="340"/>
        <w:rPr/>
      </w:pPr>
      <w:r w:rsidDel="00000000" w:rsidR="00000000" w:rsidRPr="00000000">
        <w:rPr>
          <w:rtl w:val="0"/>
        </w:rPr>
        <w:t xml:space="preserve">Ujistěte se, že červená svorka nebo koncovka (pól +) není v kontaktu s přívodem paliva nebo baterií.</w:t>
      </w:r>
    </w:p>
    <w:p w:rsidR="00000000" w:rsidDel="00000000" w:rsidP="00000000" w:rsidRDefault="00000000" w:rsidRPr="00000000" w14:paraId="000000B1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1"/>
          <w:numId w:val="3"/>
        </w:numPr>
        <w:ind w:left="1417" w:hanging="340"/>
        <w:rPr/>
      </w:pPr>
      <w:r w:rsidDel="00000000" w:rsidR="00000000" w:rsidRPr="00000000">
        <w:rPr>
          <w:rtl w:val="0"/>
        </w:rPr>
        <w:t xml:space="preserve">Připojte černý vodič nebo koncovku s očkem (-) na záporný pól (-) baterie a červený vodič nebo koncovku s očkem (+) na kostru vozidla.</w:t>
      </w:r>
    </w:p>
    <w:p w:rsidR="00000000" w:rsidDel="00000000" w:rsidP="00000000" w:rsidRDefault="00000000" w:rsidRPr="00000000" w14:paraId="000000B3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Nabíjení baterie odpojené od vozidla</w:t>
      </w:r>
    </w:p>
    <w:p w:rsidR="00000000" w:rsidDel="00000000" w:rsidP="00000000" w:rsidRDefault="00000000" w:rsidRPr="00000000" w14:paraId="000000B5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1"/>
          <w:numId w:val="2"/>
        </w:numPr>
        <w:ind w:left="1094" w:hanging="357"/>
        <w:rPr/>
      </w:pPr>
      <w:r w:rsidDel="00000000" w:rsidR="00000000" w:rsidRPr="00000000">
        <w:rPr>
          <w:rtl w:val="0"/>
        </w:rPr>
        <w:t xml:space="preserve">Před zapojením nebo odpojením svorek k baterii by se měl odpojit síťový kabel z elektrické sítě.</w:t>
      </w:r>
    </w:p>
    <w:p w:rsidR="00000000" w:rsidDel="00000000" w:rsidP="00000000" w:rsidRDefault="00000000" w:rsidRPr="00000000" w14:paraId="000000B7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1"/>
          <w:numId w:val="2"/>
        </w:numPr>
        <w:ind w:left="1094" w:hanging="357"/>
        <w:rPr/>
      </w:pPr>
      <w:r w:rsidDel="00000000" w:rsidR="00000000" w:rsidRPr="00000000">
        <w:rPr>
          <w:rtl w:val="0"/>
        </w:rPr>
        <w:t xml:space="preserve">Připojte červený vodič nebo koncovku s očkem (+) na kladný pól (+) baterie a černý vodič nebo koncovku s očkem (-) na záporný pól (-).</w:t>
      </w:r>
    </w:p>
    <w:p w:rsidR="00000000" w:rsidDel="00000000" w:rsidP="00000000" w:rsidRDefault="00000000" w:rsidRPr="00000000" w14:paraId="000000B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Připojte nabíječku do síťové zásuvky.</w:t>
      </w:r>
    </w:p>
    <w:p w:rsidR="00000000" w:rsidDel="00000000" w:rsidP="00000000" w:rsidRDefault="00000000" w:rsidRPr="00000000" w14:paraId="000000BB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Výběr nabíjecího režimu</w:t>
      </w:r>
    </w:p>
    <w:p w:rsidR="00000000" w:rsidDel="00000000" w:rsidP="00000000" w:rsidRDefault="00000000" w:rsidRPr="00000000" w14:paraId="000000BD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firstLine="288"/>
        <w:rPr/>
      </w:pPr>
      <w:r w:rsidDel="00000000" w:rsidR="00000000" w:rsidRPr="00000000">
        <w:rPr>
          <w:rtl w:val="0"/>
        </w:rPr>
        <w:t xml:space="preserve">Jedním stisknutím tlačítka MODE lze změnit nabíjení na jiné možnosti.</w:t>
      </w:r>
    </w:p>
    <w:p w:rsidR="00000000" w:rsidDel="00000000" w:rsidP="00000000" w:rsidRDefault="00000000" w:rsidRPr="00000000" w14:paraId="000000C0">
      <w:pPr>
        <w:ind w:firstLine="28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720" w:firstLine="0"/>
        <w:rPr/>
      </w:pPr>
      <w:r w:rsidDel="00000000" w:rsidR="00000000" w:rsidRPr="00000000">
        <w:rPr>
          <w:sz w:val="18"/>
          <w:szCs w:val="18"/>
        </w:rPr>
        <w:pict>
          <v:shape id="_x0000_i1042" style="width:26.9pt;height:16.3pt" o:ole="" type="#_x0000_t75">
            <v:imagedata r:id="rId25" o:title=""/>
          </v:shape>
          <o:OLEObject DrawAspect="Content" r:id="rId26" ObjectID="_1625324771" ProgID="PBrush" ShapeID="_x0000_i1042" Type="Embed"/>
        </w:pict>
      </w:r>
      <w:r w:rsidDel="00000000" w:rsidR="00000000" w:rsidRPr="00000000">
        <w:rPr>
          <w:rtl w:val="0"/>
        </w:rPr>
        <w:t xml:space="preserve"> Pro malé baterie s kapacitou nižší než 12 Ah</w:t>
      </w:r>
    </w:p>
    <w:p w:rsidR="00000000" w:rsidDel="00000000" w:rsidP="00000000" w:rsidRDefault="00000000" w:rsidRPr="00000000" w14:paraId="000000C2">
      <w:pPr>
        <w:ind w:firstLine="288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firstLine="288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firstLine="288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firstLine="288"/>
        <w:rPr>
          <w:sz w:val="18"/>
          <w:szCs w:val="18"/>
        </w:rPr>
      </w:pPr>
      <w:r w:rsidDel="00000000" w:rsidR="00000000" w:rsidRPr="00000000">
        <w:rPr>
          <w:sz w:val="18"/>
          <w:szCs w:val="18"/>
        </w:rPr>
        <w:pict>
          <v:shape id="_x0000_i1043" style="width:31.95pt;height:18.15pt" o:ole="" type="#_x0000_t75">
            <v:imagedata r:id="rId27" o:title=""/>
          </v:shape>
          <o:OLEObject DrawAspect="Content" r:id="rId28" ObjectID="_1625324772" ProgID="PBrush" ShapeID="_x0000_i1043" Type="Embed"/>
        </w:pict>
      </w:r>
      <w:r w:rsidDel="00000000" w:rsidR="00000000" w:rsidRPr="00000000">
        <w:rPr>
          <w:sz w:val="18"/>
          <w:szCs w:val="18"/>
        </w:rPr>
        <w:pict>
          <v:shape id="_x0000_i1044" style="width:16.3pt;height:16.9pt" o:ole="" type="#_x0000_t75">
            <v:imagedata r:id="rId29" o:title=""/>
          </v:shape>
          <o:OLEObject DrawAspect="Content" r:id="rId30" ObjectID="_1625324773" ProgID="PBrush" ShapeID="_x0000_i1044" Type="Embed"/>
        </w:pict>
      </w:r>
      <w:r w:rsidDel="00000000" w:rsidR="00000000" w:rsidRPr="00000000">
        <w:rPr>
          <w:sz w:val="18"/>
          <w:szCs w:val="18"/>
        </w:rPr>
        <w:pict>
          <v:shape id="_x0000_i1045" style="width:20.65pt;height:16.3pt" o:ole="" type="#_x0000_t75">
            <v:imagedata r:id="rId31" o:title=""/>
          </v:shape>
          <o:OLEObject DrawAspect="Content" r:id="rId32" ObjectID="_1625324774" ProgID="PBrush" ShapeID="_x0000_i104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Pro normální baterie s kapacitou vyšší než 12 Ah</w:t>
      </w:r>
    </w:p>
    <w:p w:rsidR="00000000" w:rsidDel="00000000" w:rsidP="00000000" w:rsidRDefault="00000000" w:rsidRPr="00000000" w14:paraId="000000C7">
      <w:pPr>
        <w:ind w:left="28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Chcete-li přepnout do </w:t>
      </w:r>
      <w:r w:rsidDel="00000000" w:rsidR="00000000" w:rsidRPr="00000000">
        <w:rPr/>
        <w:pict>
          <v:shape id="_x0000_i1046" style="width:20.65pt;height:16.9pt" o:ole="" type="#_x0000_t75">
            <v:imagedata r:id="rId33" o:title=""/>
          </v:shape>
          <o:OLEObject DrawAspect="Content" r:id="rId34" ObjectID="_1625324775" ProgID="PBrush" ShapeID="_x0000_i1046" Type="Embed"/>
        </w:pict>
      </w:r>
      <w:r w:rsidDel="00000000" w:rsidR="00000000" w:rsidRPr="00000000">
        <w:rPr>
          <w:rtl w:val="0"/>
        </w:rPr>
        <w:t xml:space="preserve">, stiskněte tlačítko MODE na 3 sekundy.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sz w:val="18"/>
          <w:szCs w:val="18"/>
          <w:rtl w:val="0"/>
        </w:rPr>
        <w:t xml:space="preserve">5) </w:t>
      </w:r>
      <w:r w:rsidDel="00000000" w:rsidR="00000000" w:rsidRPr="00000000">
        <w:rPr>
          <w:rtl w:val="0"/>
        </w:rPr>
        <w:t xml:space="preserve">Při kroku 5 je baterie připravená k použití a při kroku 7 je plně nabitá.</w:t>
      </w:r>
    </w:p>
    <w:p w:rsidR="00000000" w:rsidDel="00000000" w:rsidP="00000000" w:rsidRDefault="00000000" w:rsidRPr="00000000" w14:paraId="000000CB">
      <w:pPr>
        <w:rPr>
          <w:sz w:val="18"/>
          <w:szCs w:val="18"/>
        </w:rPr>
        <w:sectPr>
          <w:type w:val="continuous"/>
          <w:pgSz w:h="5954" w:w="8392" w:orient="landscape"/>
          <w:pgMar w:bottom="288" w:top="288" w:left="288" w:right="288" w:header="720" w:footer="720"/>
          <w:cols w:equalWidth="0" w:num="2">
            <w:col w:space="144" w:w="3836.000000000001"/>
            <w:col w:space="0" w:w="3836.000000000001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1"/>
        <w:ind w:left="0" w:firstLine="0"/>
        <w:rPr/>
      </w:pPr>
      <w:r w:rsidDel="00000000" w:rsidR="00000000" w:rsidRPr="00000000">
        <w:rPr>
          <w:rtl w:val="0"/>
        </w:rPr>
        <w:t xml:space="preserve">Technické údaje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5927.0" w:type="dxa"/>
        <w:jc w:val="center"/>
        <w:tblLayout w:type="fixed"/>
        <w:tblLook w:val="0000"/>
      </w:tblPr>
      <w:tblGrid>
        <w:gridCol w:w="2057"/>
        <w:gridCol w:w="3870"/>
        <w:tblGridChange w:id="0">
          <w:tblGrid>
            <w:gridCol w:w="2057"/>
            <w:gridCol w:w="3870"/>
          </w:tblGrid>
        </w:tblGridChange>
      </w:tblGrid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MODEL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                     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BX-1M / BX-1D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Vstupní napětí (AC)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220-240VAC,  50/60Hz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Výstupní napětí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Jmenovitá hodnota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: 12V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Vstupní proud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max. 0,6A ARMS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Minimální napětí baterie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&gt;3,0V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Výstupní výkon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57W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Účinnost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&gt;80%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Nabíjecí proud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D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3,8A max.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Tok inverzního proudu*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&lt;10  mA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0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Napájení v pohotovostním režimu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&lt; 1W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Okolní teplota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0°C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až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40°C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Typ nabíječky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Sedm kroků, plně automatické, nabíjení ve spínacím režimu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Typ baterie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12V olověné nabíjecí baterie (WET, MF, VRLA, AGM, GEL a vápníkové) </w:t>
            </w:r>
          </w:p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Lithiové 12,8 V; 4článková LiFePO4 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Kapacita baterie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Olověné nabíjecí:1,2-120Ah (nabíjení)</w:t>
            </w:r>
          </w:p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Lithiové:  10-80 Ah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Rozměry (D x Š x 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188,6x62,3x48,8mm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Ochrany krytím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IP65 (odolnost proti prachu a šplíchající vodě) venkovní použití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Hmotnost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0,7kg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Hladina hlučnosti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&lt; 50 dB (testováno ve vzdálenosti 50 cm)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360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* = Zpětný proud je množství proudu odebíraného nabíječkou, která je připojena k baterii a není připojena k elektrické síti. Nabíječka BENTON</w:t>
      </w:r>
      <w:r w:rsidDel="00000000" w:rsidR="00000000" w:rsidRPr="00000000">
        <w:rPr>
          <w:sz w:val="18"/>
          <w:szCs w:val="18"/>
          <w:vertAlign w:val="superscript"/>
          <w:rtl w:val="0"/>
        </w:rPr>
        <w:t xml:space="preserve">®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sz w:val="14"/>
          <w:szCs w:val="14"/>
          <w:rtl w:val="0"/>
        </w:rPr>
        <w:t xml:space="preserve">BX-1M / BX-1D </w:t>
      </w:r>
      <w:r w:rsidDel="00000000" w:rsidR="00000000" w:rsidRPr="00000000">
        <w:rPr>
          <w:sz w:val="18"/>
          <w:szCs w:val="18"/>
          <w:rtl w:val="0"/>
        </w:rPr>
        <w:t xml:space="preserve">má extrémně nízký tok zpětného proudu.</w:t>
      </w:r>
    </w:p>
    <w:p w:rsidR="00000000" w:rsidDel="00000000" w:rsidP="00000000" w:rsidRDefault="00000000" w:rsidRPr="00000000" w14:paraId="000000F6">
      <w:pPr>
        <w:ind w:left="36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Nabíjecí fáze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Nabíječka</w:t>
      </w:r>
      <w:r w:rsidDel="00000000" w:rsidR="00000000" w:rsidRPr="00000000">
        <w:rPr>
          <w:b w:val="1"/>
          <w:sz w:val="20"/>
          <w:szCs w:val="20"/>
          <w:rtl w:val="0"/>
        </w:rPr>
        <w:t xml:space="preserve"> BENTON®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BX-1M / BX-1D </w:t>
      </w:r>
      <w:r w:rsidDel="00000000" w:rsidR="00000000" w:rsidRPr="00000000">
        <w:rPr>
          <w:rtl w:val="0"/>
        </w:rPr>
        <w:t xml:space="preserve">provádí 7 krokový plně automatický nabíjecí cyklus.</w:t>
      </w:r>
    </w:p>
    <w:p w:rsidR="00000000" w:rsidDel="00000000" w:rsidP="00000000" w:rsidRDefault="00000000" w:rsidRPr="00000000" w14:paraId="000000F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-285" w:hanging="1.0000000000000142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114069" cy="1532300"/>
            <wp:effectExtent b="0" l="0" r="0" t="0"/>
            <wp:docPr id="10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069" cy="15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4027405</wp:posOffset>
            </wp:positionH>
            <wp:positionV relativeFrom="paragraph">
              <wp:posOffset>1211356</wp:posOffset>
            </wp:positionV>
            <wp:extent cx="342900" cy="213653"/>
            <wp:effectExtent b="0" l="0" r="0" t="0"/>
            <wp:wrapNone/>
            <wp:docPr id="10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136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D">
      <w:pPr>
        <w:numPr>
          <w:ilvl w:val="2"/>
          <w:numId w:val="3"/>
        </w:numPr>
        <w:ind w:left="357" w:hanging="357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Diagnóza</w:t>
      </w:r>
    </w:p>
    <w:p w:rsidR="00000000" w:rsidDel="00000000" w:rsidP="00000000" w:rsidRDefault="00000000" w:rsidRPr="00000000" w14:paraId="000000FE">
      <w:pPr>
        <w:ind w:left="378" w:firstLine="0"/>
        <w:jc w:val="both"/>
        <w:rPr/>
      </w:pPr>
      <w:r w:rsidDel="00000000" w:rsidR="00000000" w:rsidRPr="00000000">
        <w:rPr>
          <w:rtl w:val="0"/>
        </w:rPr>
        <w:t xml:space="preserve">Unikátní diagnostická funkce kontroluje stav baterie a zjišťuje, zda lze baterii nabíjet.</w:t>
      </w:r>
    </w:p>
    <w:p w:rsidR="00000000" w:rsidDel="00000000" w:rsidP="00000000" w:rsidRDefault="00000000" w:rsidRPr="00000000" w14:paraId="000000F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2) </w:t>
      </w:r>
      <w:r w:rsidDel="00000000" w:rsidR="00000000" w:rsidRPr="00000000">
        <w:rPr>
          <w:b w:val="1"/>
          <w:rtl w:val="0"/>
        </w:rPr>
        <w:t xml:space="preserve">Pomalý náběh</w:t>
      </w:r>
      <w:r w:rsidDel="00000000" w:rsidR="00000000" w:rsidRPr="00000000">
        <w:rPr>
          <w:rtl w:val="0"/>
        </w:rPr>
        <w:t xml:space="preserve">: Nabíjení nízkým proudem obnovuje výrazně vybité baterie s poklesem napětí o 3 V a více.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3) </w:t>
      </w:r>
      <w:r w:rsidDel="00000000" w:rsidR="00000000" w:rsidRPr="00000000">
        <w:rPr>
          <w:b w:val="1"/>
          <w:rtl w:val="0"/>
        </w:rPr>
        <w:t xml:space="preserve">Obnovení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rtl w:val="0"/>
        </w:rPr>
        <w:t xml:space="preserve">Hluboce vybité baterie s napětím 7,5 V lze obnovit a nabíjet pulzním nabíjením pomocí malého proudu.</w:t>
      </w:r>
    </w:p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357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4) </w:t>
      </w:r>
      <w:r w:rsidDel="00000000" w:rsidR="00000000" w:rsidRPr="00000000">
        <w:rPr>
          <w:b w:val="1"/>
          <w:rtl w:val="0"/>
        </w:rPr>
        <w:t xml:space="preserve">Objemové nabíjení: </w:t>
      </w:r>
      <w:r w:rsidDel="00000000" w:rsidR="00000000" w:rsidRPr="00000000">
        <w:rPr>
          <w:rtl w:val="0"/>
        </w:rPr>
        <w:t xml:space="preserve">V této fázi nabíjení se s max. nabíjecím proudem vrací 80 % energie.</w:t>
      </w:r>
    </w:p>
    <w:p w:rsidR="00000000" w:rsidDel="00000000" w:rsidP="00000000" w:rsidRDefault="00000000" w:rsidRPr="00000000" w14:paraId="0000010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357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5) </w:t>
      </w:r>
      <w:r w:rsidDel="00000000" w:rsidR="00000000" w:rsidRPr="00000000">
        <w:rPr>
          <w:b w:val="1"/>
          <w:rtl w:val="0"/>
        </w:rPr>
        <w:t xml:space="preserve">Absorpce: </w:t>
      </w:r>
      <w:r w:rsidDel="00000000" w:rsidR="00000000" w:rsidRPr="00000000">
        <w:rPr>
          <w:rtl w:val="0"/>
        </w:rPr>
        <w:t xml:space="preserve">Pomocí nabíjení klesajícím proudem je dosaženo téměř 100 %.</w:t>
      </w:r>
    </w:p>
    <w:p w:rsidR="00000000" w:rsidDel="00000000" w:rsidP="00000000" w:rsidRDefault="00000000" w:rsidRPr="00000000" w14:paraId="00000106">
      <w:pPr>
        <w:ind w:left="357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6) </w:t>
      </w:r>
      <w:r w:rsidDel="00000000" w:rsidR="00000000" w:rsidRPr="00000000">
        <w:rPr>
          <w:b w:val="1"/>
          <w:rtl w:val="0"/>
        </w:rPr>
        <w:t xml:space="preserve">Analýza: </w:t>
      </w:r>
      <w:r w:rsidDel="00000000" w:rsidR="00000000" w:rsidRPr="00000000">
        <w:rPr>
          <w:rtl w:val="0"/>
        </w:rPr>
        <w:t xml:space="preserve">Kontrola stavu baterie. Pokud baterie neudrží energii, je třeba ji vyměnit.</w:t>
      </w:r>
    </w:p>
    <w:p w:rsidR="00000000" w:rsidDel="00000000" w:rsidP="00000000" w:rsidRDefault="00000000" w:rsidRPr="00000000" w14:paraId="00000107">
      <w:pPr>
        <w:ind w:left="357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7) </w:t>
      </w:r>
      <w:r w:rsidDel="00000000" w:rsidR="00000000" w:rsidRPr="00000000">
        <w:rPr>
          <w:b w:val="1"/>
          <w:rtl w:val="0"/>
        </w:rPr>
        <w:t xml:space="preserve">Plovoucí nabíjení: </w:t>
      </w:r>
      <w:r w:rsidDel="00000000" w:rsidR="00000000" w:rsidRPr="00000000">
        <w:rPr>
          <w:rtl w:val="0"/>
        </w:rPr>
        <w:t xml:space="preserve">Baterie je plně dobitá a připravená k použití. Baterie je udržována na maximální úrovni nabití pomocí nízkého proudu.</w:t>
      </w:r>
    </w:p>
    <w:p w:rsidR="00000000" w:rsidDel="00000000" w:rsidP="00000000" w:rsidRDefault="00000000" w:rsidRPr="00000000" w14:paraId="0000010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Odstraňování závad</w:t>
      </w:r>
    </w:p>
    <w:p w:rsidR="00000000" w:rsidDel="00000000" w:rsidP="00000000" w:rsidRDefault="00000000" w:rsidRPr="00000000" w14:paraId="0000010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805.999999999999" w:type="dxa"/>
        <w:jc w:val="center"/>
        <w:tblLayout w:type="fixed"/>
        <w:tblLook w:val="0000"/>
      </w:tblPr>
      <w:tblGrid>
        <w:gridCol w:w="1002"/>
        <w:gridCol w:w="1056"/>
        <w:gridCol w:w="2186"/>
        <w:gridCol w:w="3562"/>
        <w:tblGridChange w:id="0">
          <w:tblGrid>
            <w:gridCol w:w="1002"/>
            <w:gridCol w:w="1056"/>
            <w:gridCol w:w="2186"/>
            <w:gridCol w:w="3562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Problém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Ukazatel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Možná příčina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Řešení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Nabíječka nefunguje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Ukazatele nesvítí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Nabíječka není zapojená</w:t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Špatné elektrické připojení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 výstup je bez napětí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Nabíječka není připojena k baterii po dobu více než 2 minut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numPr>
                <w:ilvl w:val="0"/>
                <w:numId w:val="5"/>
              </w:numPr>
              <w:ind w:left="357" w:hanging="35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Zapojte</w:t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5"/>
              </w:numPr>
              <w:ind w:left="357" w:hanging="35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Zkontrolujte AC připojení a zkontrolujte, zda je síťová zásuvka zapnutá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Zkontrolujte zásuvku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Nabíječka je v režimu úspory energie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</w:rPr>
              <w:pict>
                <v:shape id="_x0000_i1047" style="width:22.55pt;height:20.05pt" o:ole="" type="#_x0000_t75">
                  <v:imagedata r:id="rId35" o:title=""/>
                </v:shape>
                <o:OLEObject DrawAspect="Content" r:id="rId36" ObjectID="_1625324776" ProgID="PBrush" ShapeID="_x0000_i1047" Type="Embed"/>
              </w:pict>
            </w:r>
            <w:r w:rsidDel="00000000" w:rsidR="00000000" w:rsidRPr="00000000">
              <w:rPr>
                <w:b w:val="1"/>
                <w:rtl w:val="0"/>
              </w:rPr>
              <w:t xml:space="preserve"> Blikající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</w:rPr>
              <w:drawing>
                <wp:inline distB="0" distT="0" distL="0" distR="0">
                  <wp:extent cx="344199" cy="375406"/>
                  <wp:effectExtent b="0" l="0" r="0" t="0"/>
                  <wp:docPr id="10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9" cy="3754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numPr>
                <w:ilvl w:val="0"/>
                <w:numId w:val="6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Špatný kontakt mezi nabíječkou a baterií</w:t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6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Nabíjení je přerušeno ve fázi 3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6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Nabíjení je přerušeno ve fázi 2</w:t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6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Nabíjení je přerušeno ve fázi 6</w:t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6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Baterie může být poškozená / mít nadměrný odběr proudu</w:t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6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Baterie může být závažně sulfátovaná</w:t>
            </w:r>
          </w:p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numPr>
                <w:ilvl w:val="0"/>
                <w:numId w:val="7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Zkontrolujte, zda nejsou konektory mastné či zkorodované, spoje jsou čisté a nedochází k uvolněným či poškozeným spojením</w:t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7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Baterie je extrémně sulfátovaná a je nutné ji vyměnit</w:t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7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Baterii nelze nabíjet a je nutné ji vyměnit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Baterii neudrží nabití a je nutné ji vyměnit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7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Vybitá baterie, je nutné ji vyměnit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Baterii nelze odsulfátovat a je nutné ji vyměnit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</w:rPr>
              <w:pict>
                <v:shape id="_x0000_i1048" style="width:22.55pt;height:20.05pt" o:ole="" type="#_x0000_t75">
                  <v:imagedata r:id="rId37" o:title=""/>
                </v:shape>
                <o:OLEObject DrawAspect="Content" r:id="rId38" ObjectID="_1625324777" ProgID="PBrush" ShapeID="_x0000_i1048" Type="Embed"/>
              </w:pic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</w:rPr>
              <w:pict>
                <v:shape id="_x0000_i1049" style="width:25.05pt;height:25.65pt" o:ole="" type="#_x0000_t75">
                  <v:imagedata r:id="rId39" o:title=""/>
                </v:shape>
                <o:OLEObject DrawAspect="Content" r:id="rId40" ObjectID="_1625324778" ProgID="PBrush" ShapeID="_x0000_i1049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B">
            <w:pPr>
              <w:ind w:left="35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Baterie je připojena s obrácenou polaritou </w:t>
            </w:r>
          </w:p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ind w:left="35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Zkontrolujte připojení stejnosměrného proudu mezi nabíječkou a baterií a ujistěte se, že nedošlo ke zkratu</w:t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Prohlášení o shodě</w:t>
      </w:r>
    </w:p>
    <w:p w:rsidR="00000000" w:rsidDel="00000000" w:rsidP="00000000" w:rsidRDefault="00000000" w:rsidRPr="00000000" w14:paraId="00000132">
      <w:pPr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Testováno a schváleno TÜV/GS a splňuje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  <w:t xml:space="preserve">EN 60335-1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  <w:t xml:space="preserve">EN 60335-2-29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  <w:t xml:space="preserve">EN 55014-1</w:t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EN 55014-2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  <w:t xml:space="preserve">EN 61000-3-2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EN 61000-3-3</w:t>
      </w:r>
    </w:p>
    <w:p w:rsidR="00000000" w:rsidDel="00000000" w:rsidP="00000000" w:rsidRDefault="00000000" w:rsidRPr="00000000" w14:paraId="00000139">
      <w:pPr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VÝROBKY SPOLEČNOSTI BENTON JSOU CHRÁNĚNY: patenty, designy, ochrannými známkami</w:t>
      </w:r>
    </w:p>
    <w:p w:rsidR="00000000" w:rsidDel="00000000" w:rsidP="00000000" w:rsidRDefault="00000000" w:rsidRPr="00000000" w14:paraId="0000013B">
      <w:pPr>
        <w:rPr>
          <w:rFonts w:ascii="Arial" w:cs="Arial" w:eastAsia="Arial" w:hAnsi="Arial"/>
          <w:color w:val="5959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Arial" w:cs="Arial" w:eastAsia="Arial" w:hAnsi="Arial"/>
          <w:color w:val="5959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Arial" w:cs="Arial" w:eastAsia="Arial" w:hAnsi="Arial"/>
          <w:color w:val="5959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right"/>
        <w:rPr>
          <w:rFonts w:ascii="Arial" w:cs="Arial" w:eastAsia="Arial" w:hAnsi="Arial"/>
          <w:color w:val="595959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595959"/>
          <w:sz w:val="18"/>
          <w:szCs w:val="18"/>
          <w:rtl w:val="0"/>
        </w:rPr>
        <w:t xml:space="preserve">REV. A4</w:t>
      </w:r>
    </w:p>
    <w:sectPr>
      <w:type w:val="continuous"/>
      <w:pgSz w:h="5954" w:w="8392" w:orient="landscape"/>
      <w:pgMar w:bottom="288" w:top="288" w:left="288" w:right="288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Courier New"/>
  <w:font w:name="Tiresias LPfont"/>
  <w:font w:name="Noto Sans Symbols">
    <w:embedRegular w:fontKey="{00000000-0000-0000-0000-000000000000}" r:id="rId41" w:subsetted="0"/>
    <w:embedBold w:fontKey="{00000000-0000-0000-0000-000000000000}" r:id="rId4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•"/>
      <w:lvlJc w:val="left"/>
      <w:pPr>
        <w:ind w:left="1440" w:hanging="360"/>
      </w:pPr>
      <w:rPr>
        <w:rFonts w:ascii="Tiresias LPfont" w:cs="Tiresias LPfont" w:eastAsia="Tiresias LPfont" w:hAnsi="Tiresias LPfont"/>
        <w:color w:val="000000"/>
      </w:rPr>
    </w:lvl>
    <w:lvl w:ilvl="2">
      <w:start w:val="1"/>
      <w:numFmt w:val="decimal"/>
      <w:lvlText w:val="%3)"/>
      <w:lvlJc w:val="left"/>
      <w:pPr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360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 w:val="1"/>
    <w:pPr>
      <w:keepNext w:val="1"/>
      <w:ind w:left="360"/>
      <w:outlineLvl w:val="0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PlainText">
    <w:name w:val="Plain Text"/>
    <w:basedOn w:val="Normal"/>
    <w:link w:val="PlainTextChar"/>
    <w:uiPriority w:val="99"/>
    <w:rPr>
      <w:rFonts w:ascii="Courier New" w:cs="Courier New" w:hAnsi="Courier New"/>
      <w:sz w:val="20"/>
      <w:szCs w:val="20"/>
    </w:rPr>
  </w:style>
  <w:style w:type="paragraph" w:styleId="NormalWeb">
    <w:name w:val="Normal (Web)"/>
    <w:basedOn w:val="Normal"/>
    <w:pPr>
      <w:spacing w:after="100" w:afterAutospacing="1" w:before="100" w:beforeAutospacing="1"/>
    </w:pPr>
  </w:style>
  <w:style w:type="character" w:styleId="Strong">
    <w:name w:val="Strong"/>
    <w:qFormat w:val="1"/>
    <w:rPr>
      <w:b w:val="1"/>
      <w:bCs w:val="1"/>
    </w:rPr>
  </w:style>
  <w:style w:type="character" w:styleId="CommentReference">
    <w:name w:val="annotation reference"/>
    <w:semiHidden w:val="1"/>
    <w:rPr>
      <w:sz w:val="16"/>
      <w:szCs w:val="16"/>
    </w:rPr>
  </w:style>
  <w:style w:type="paragraph" w:styleId="CommentText">
    <w:name w:val="annotation text"/>
    <w:basedOn w:val="Normal"/>
    <w:link w:val="CommentTextChar"/>
    <w:semiHidden w:val="1"/>
    <w:rPr>
      <w:sz w:val="20"/>
      <w:szCs w:val="20"/>
    </w:rPr>
  </w:style>
  <w:style w:type="paragraph" w:styleId="CommentSubject1" w:customStyle="1">
    <w:name w:val="Comment Subject1"/>
    <w:basedOn w:val="CommentText"/>
    <w:next w:val="CommentText"/>
    <w:uiPriority w:val="99"/>
    <w:semiHidden w:val="1"/>
    <w:rPr>
      <w:b w:val="1"/>
      <w:bCs w:val="1"/>
    </w:rPr>
  </w:style>
  <w:style w:type="paragraph" w:styleId="BalloonText1" w:customStyle="1">
    <w:name w:val="Balloon Text1"/>
    <w:basedOn w:val="Normal"/>
    <w:semiHidden w:val="1"/>
    <w:rPr>
      <w:rFonts w:ascii="Tahoma" w:cs="Tahoma" w:hAnsi="Tahoma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jc w:val="both"/>
    </w:pPr>
  </w:style>
  <w:style w:type="paragraph" w:styleId="ListParagraph">
    <w:name w:val="List Paragraph"/>
    <w:basedOn w:val="Normal"/>
    <w:uiPriority w:val="34"/>
    <w:qFormat w:val="1"/>
    <w:rsid w:val="00F439AE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CommentTextChar" w:customStyle="1">
    <w:name w:val="Comment Text Char"/>
    <w:link w:val="CommentText"/>
    <w:semiHidden w:val="1"/>
    <w:rsid w:val="00F439AE"/>
  </w:style>
  <w:style w:type="table" w:styleId="TableGrid">
    <w:name w:val="Table Grid"/>
    <w:basedOn w:val="TableNormal"/>
    <w:rsid w:val="00E14FF3"/>
    <w:pPr>
      <w:widowControl w:val="0"/>
      <w:jc w:val="both"/>
    </w:pPr>
    <w:rPr>
      <w:rFonts w:eastAsia="SimSun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Quote">
    <w:name w:val="Quote"/>
    <w:basedOn w:val="Normal"/>
    <w:next w:val="Normal"/>
    <w:link w:val="QuoteChar"/>
    <w:uiPriority w:val="99"/>
    <w:qFormat w:val="1"/>
    <w:rsid w:val="006B0A87"/>
    <w:rPr>
      <w:i w:val="1"/>
      <w:iCs w:val="1"/>
      <w:color w:val="000000"/>
    </w:rPr>
  </w:style>
  <w:style w:type="character" w:styleId="QuoteChar" w:customStyle="1">
    <w:name w:val="Quote Char"/>
    <w:link w:val="Quote"/>
    <w:uiPriority w:val="99"/>
    <w:rsid w:val="006B0A87"/>
    <w:rPr>
      <w:i w:val="1"/>
      <w:iCs w:val="1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6A74AC"/>
    <w:rPr>
      <w:rFonts w:ascii="Calibri Light" w:hAnsi="Calibri Light"/>
      <w:sz w:val="18"/>
      <w:szCs w:val="18"/>
    </w:rPr>
  </w:style>
  <w:style w:type="character" w:styleId="BalloonTextChar" w:customStyle="1">
    <w:name w:val="Balloon Text Char"/>
    <w:link w:val="BalloonText"/>
    <w:rsid w:val="006A74AC"/>
    <w:rPr>
      <w:rFonts w:ascii="Calibri Light" w:cs="Times New Roman" w:eastAsia="PMingLiU" w:hAnsi="Calibri Light"/>
      <w:sz w:val="18"/>
      <w:szCs w:val="18"/>
      <w:lang w:eastAsia="en-US"/>
    </w:rPr>
  </w:style>
  <w:style w:type="character" w:styleId="PlainTextChar" w:customStyle="1">
    <w:name w:val="Plain Text Char"/>
    <w:link w:val="PlainText"/>
    <w:uiPriority w:val="99"/>
    <w:rsid w:val="00D07081"/>
    <w:rPr>
      <w:rFonts w:ascii="Courier New" w:cs="Courier New" w:hAnsi="Courier New"/>
      <w:lang w:eastAsia="en-US"/>
    </w:rPr>
  </w:style>
  <w:style w:type="character" w:styleId="BodyTextChar" w:customStyle="1">
    <w:name w:val="Body Text Char"/>
    <w:link w:val="BodyText"/>
    <w:uiPriority w:val="99"/>
    <w:rsid w:val="002A30A1"/>
    <w:rPr>
      <w:sz w:val="24"/>
      <w:szCs w:val="24"/>
    </w:rPr>
  </w:style>
  <w:style w:type="character" w:styleId="Heading1Char" w:customStyle="1">
    <w:name w:val="Heading 1 Char"/>
    <w:link w:val="Heading1"/>
    <w:uiPriority w:val="99"/>
    <w:rsid w:val="00415E45"/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6.bin"/><Relationship Id="rId42" Type="http://schemas.openxmlformats.org/officeDocument/2006/relationships/settings" Target="settings.xml"/><Relationship Id="rId41" Type="http://schemas.openxmlformats.org/officeDocument/2006/relationships/theme" Target="theme/theme1.xml"/><Relationship Id="rId44" Type="http://schemas.openxmlformats.org/officeDocument/2006/relationships/numbering" Target="numbering.xml"/><Relationship Id="rId43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styles" Target="styles.xml"/><Relationship Id="rId1" Type="http://schemas.openxmlformats.org/officeDocument/2006/relationships/image" Target="media/image8.png"/><Relationship Id="rId2" Type="http://schemas.openxmlformats.org/officeDocument/2006/relationships/oleObject" Target="embeddings/oleObject8.bin"/><Relationship Id="rId3" Type="http://schemas.openxmlformats.org/officeDocument/2006/relationships/image" Target="media/image8.png"/><Relationship Id="rId4" Type="http://schemas.openxmlformats.org/officeDocument/2006/relationships/oleObject" Target="embeddings/oleObject7.bin"/><Relationship Id="rId48" Type="http://schemas.openxmlformats.org/officeDocument/2006/relationships/image" Target="media/image28.png"/><Relationship Id="rId9" Type="http://schemas.openxmlformats.org/officeDocument/2006/relationships/image" Target="media/image13.png"/><Relationship Id="rId47" Type="http://schemas.openxmlformats.org/officeDocument/2006/relationships/image" Target="media/image22.png"/><Relationship Id="rId49" Type="http://schemas.openxmlformats.org/officeDocument/2006/relationships/image" Target="media/image29.png"/><Relationship Id="rId5" Type="http://schemas.openxmlformats.org/officeDocument/2006/relationships/image" Target="media/image10.png"/><Relationship Id="rId6" Type="http://schemas.openxmlformats.org/officeDocument/2006/relationships/oleObject" Target="embeddings/oleObject10.bin"/><Relationship Id="rId7" Type="http://schemas.openxmlformats.org/officeDocument/2006/relationships/image" Target="media/image9.png"/><Relationship Id="rId8" Type="http://schemas.openxmlformats.org/officeDocument/2006/relationships/oleObject" Target="embeddings/oleObject9.bin"/><Relationship Id="rId31" Type="http://schemas.openxmlformats.org/officeDocument/2006/relationships/image" Target="media/image10.png"/><Relationship Id="rId30" Type="http://schemas.openxmlformats.org/officeDocument/2006/relationships/oleObject" Target="embeddings/oleObject1.bin"/><Relationship Id="rId33" Type="http://schemas.openxmlformats.org/officeDocument/2006/relationships/image" Target="media/image12.png"/><Relationship Id="rId32" Type="http://schemas.openxmlformats.org/officeDocument/2006/relationships/oleObject" Target="embeddings/oleObject2.bin"/><Relationship Id="rId35" Type="http://schemas.openxmlformats.org/officeDocument/2006/relationships/image" Target="media/image4.png"/><Relationship Id="rId34" Type="http://schemas.openxmlformats.org/officeDocument/2006/relationships/oleObject" Target="embeddings/oleObject3.bin"/><Relationship Id="rId37" Type="http://schemas.openxmlformats.org/officeDocument/2006/relationships/image" Target="media/image4.png"/><Relationship Id="rId36" Type="http://schemas.openxmlformats.org/officeDocument/2006/relationships/oleObject" Target="embeddings/oleObject4.bin"/><Relationship Id="rId39" Type="http://schemas.openxmlformats.org/officeDocument/2006/relationships/image" Target="media/image6.png"/><Relationship Id="rId38" Type="http://schemas.openxmlformats.org/officeDocument/2006/relationships/oleObject" Target="embeddings/oleObject5.bin"/><Relationship Id="rId20" Type="http://schemas.openxmlformats.org/officeDocument/2006/relationships/oleObject" Target="embeddings/oleObject16.bin"/><Relationship Id="rId22" Type="http://schemas.openxmlformats.org/officeDocument/2006/relationships/oleObject" Target="embeddings/oleObject17.bin"/><Relationship Id="rId21" Type="http://schemas.openxmlformats.org/officeDocument/2006/relationships/image" Target="media/image12.png"/><Relationship Id="rId24" Type="http://schemas.openxmlformats.org/officeDocument/2006/relationships/oleObject" Target="embeddings/oleObject18.bin"/><Relationship Id="rId23" Type="http://schemas.openxmlformats.org/officeDocument/2006/relationships/image" Target="media/image10.png"/><Relationship Id="rId26" Type="http://schemas.openxmlformats.org/officeDocument/2006/relationships/oleObject" Target="embeddings/oleObject19.bin"/><Relationship Id="rId25" Type="http://schemas.openxmlformats.org/officeDocument/2006/relationships/image" Target="media/image8.png"/><Relationship Id="rId28" Type="http://schemas.openxmlformats.org/officeDocument/2006/relationships/oleObject" Target="embeddings/oleObject20.bin"/><Relationship Id="rId27" Type="http://schemas.openxmlformats.org/officeDocument/2006/relationships/image" Target="media/image9.png"/><Relationship Id="rId29" Type="http://schemas.openxmlformats.org/officeDocument/2006/relationships/image" Target="media/image13.png"/><Relationship Id="rId51" Type="http://schemas.openxmlformats.org/officeDocument/2006/relationships/image" Target="media/image27.png"/><Relationship Id="rId50" Type="http://schemas.openxmlformats.org/officeDocument/2006/relationships/image" Target="media/image24.png"/><Relationship Id="rId53" Type="http://schemas.openxmlformats.org/officeDocument/2006/relationships/image" Target="media/image23.png"/><Relationship Id="rId52" Type="http://schemas.openxmlformats.org/officeDocument/2006/relationships/image" Target="media/image26.png"/><Relationship Id="rId11" Type="http://schemas.openxmlformats.org/officeDocument/2006/relationships/image" Target="media/image10.png"/><Relationship Id="rId55" Type="http://schemas.openxmlformats.org/officeDocument/2006/relationships/image" Target="media/image25.png"/><Relationship Id="rId10" Type="http://schemas.openxmlformats.org/officeDocument/2006/relationships/oleObject" Target="embeddings/oleObject13.bin"/><Relationship Id="rId54" Type="http://schemas.openxmlformats.org/officeDocument/2006/relationships/image" Target="media/image21.png"/><Relationship Id="rId13" Type="http://schemas.openxmlformats.org/officeDocument/2006/relationships/image" Target="media/image12.png"/><Relationship Id="rId12" Type="http://schemas.openxmlformats.org/officeDocument/2006/relationships/oleObject" Target="embeddings/oleObject11.bin"/><Relationship Id="rId15" Type="http://schemas.openxmlformats.org/officeDocument/2006/relationships/image" Target="media/image8.png"/><Relationship Id="rId14" Type="http://schemas.openxmlformats.org/officeDocument/2006/relationships/oleObject" Target="embeddings/oleObject12.bin"/><Relationship Id="rId17" Type="http://schemas.openxmlformats.org/officeDocument/2006/relationships/image" Target="media/image9.png"/><Relationship Id="rId16" Type="http://schemas.openxmlformats.org/officeDocument/2006/relationships/oleObject" Target="embeddings/oleObject14.bin"/><Relationship Id="rId19" Type="http://schemas.openxmlformats.org/officeDocument/2006/relationships/image" Target="media/image13.png"/><Relationship Id="rId18" Type="http://schemas.openxmlformats.org/officeDocument/2006/relationships/oleObject" Target="embeddings/oleObject15.bin"/></Relationships>
</file>

<file path=word/_rels/fontTable.xml.rels><?xml version="1.0" encoding="UTF-8" standalone="yes"?><Relationships xmlns="http://schemas.openxmlformats.org/package/2006/relationships"><Relationship Id="rId42" Type="http://schemas.openxmlformats.org/officeDocument/2006/relationships/font" Target="fonts/NotoSansSymbols-bold.ttf"/><Relationship Id="rId41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2VIvnCcNw/1D655qL70VN14snw==">CgMxLjAyCGguZ2pkZ3hzOAByITFVUTZLYl9YTWs2QkNDYmlpdTFPVkJGMGxBZHh3WDJSWA==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2019-07-15T06:01:00Z</dcterms:created>
  <dc:creator>rathi</dc:creator>
</cp:coreProperties>
</file>